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b/>
          <w:bCs/>
          <w:color w:val="1A365D"/>
          <w:sz w:val="36"/>
          <w:szCs w:val="36"/>
        </w:rPr>
        <w:t xml:space="preserve">Стохастическая Гравитационно-Динамическая Модель Мультивселенной (SGDM)</w:t>
      </w:r>
    </w:p>
    <w:p>
      <w:pPr>
        <w:spacing w:after="180" w:before="60"/>
        <w:jc w:val="center"/>
      </w:pPr>
      <w:r>
        <w:rPr>
          <w:i/>
          <w:iCs/>
          <w:color w:val="4A5568"/>
          <w:sz w:val="24"/>
          <w:szCs w:val="24"/>
        </w:rPr>
        <w:t xml:space="preserve">Единая концепция темного сектора, циклической гравитационной эволюции и природы космологического расширения</w:t>
      </w:r>
    </w:p>
    <w:p>
      <w:pPr>
        <w:spacing w:after="60" w:before="60"/>
        <w:jc w:val="center"/>
      </w:pPr>
      <w:r>
        <w:rPr>
          <w:b/>
          <w:bCs/>
          <w:color w:val="1A365D"/>
          <w:sz w:val="22"/>
          <w:szCs w:val="22"/>
        </w:rPr>
        <w:t xml:space="preserve">Автор: </w:t>
      </w:r>
      <w:r>
        <w:rPr>
          <w:b/>
          <w:bCs/>
          <w:color w:val="1A365D"/>
          <w:sz w:val="24"/>
          <w:szCs w:val="24"/>
        </w:rPr>
        <w:t xml:space="preserve">Чесноков Юрий Александрович</w:t>
      </w:r>
    </w:p>
    <w:p>
      <w:pPr>
        <w:spacing w:after="60" w:before="0"/>
        <w:jc w:val="center"/>
      </w:pPr>
      <w:r>
        <w:rPr>
          <w:i/>
          <w:iCs/>
          <w:color w:val="4A5568"/>
          <w:sz w:val="20"/>
          <w:szCs w:val="20"/>
        </w:rPr>
        <w:t xml:space="preserve">Физико-технический факультет ДГУ (ФТФ, 1984 г.), физик-исследователь</w:t>
      </w:r>
    </w:p>
    <w:p>
      <w:pPr>
        <w:spacing w:after="240" w:before="0"/>
        <w:jc w:val="center"/>
      </w:pPr>
      <w:r>
        <w:rPr>
          <w:rFonts w:ascii="Consolas" w:cs="Consolas" w:eastAsia="Consolas" w:hAnsi="Consolas"/>
          <w:color w:val="2B6CB0"/>
          <w:sz w:val="18"/>
          <w:szCs w:val="18"/>
        </w:rPr>
        <w:t xml:space="preserve">Тел.: +7 (903) 652-90-14  |  E-mail: europo1@yandex.ru  |  Сайт проекта: https://multiverse.asistent-aiart.ru</w:t>
      </w:r>
    </w:p>
    <w:p>
      <w:pPr>
        <w:pStyle w:val="Heading2"/>
      </w:pPr>
      <w:r>
        <w:rPr>
          <w:b/>
          <w:bCs/>
          <w:color w:val="2B6CB0"/>
          <w:sz w:val="28"/>
          <w:szCs w:val="28"/>
        </w:rPr>
        <w:t xml:space="preserve">Аннотация</w:t>
      </w:r>
    </w:p>
    <w:p>
      <w:r>
        <w:t xml:space="preserve">Настоящая работа формулирует замкнутую космологическую модель, свободную от гипотетических скалярных полей «тёмной энергии» и не открытых на ускорителях слабовзаимодействующих элементарных частиц (WIMP). В основу модели положен принцип Бритвы Оккама, классическая Общая теория относительности (ОТО) и наблюдаемая астрофизика компактных объектов. Темный сектор (~95% массы) рассматривается как ансамбль стабильных невращающихся и слабовращающихся черных дыр широкого стохастического спектра масс со сверхплотным ядром конечной предельной плотности ρ0 = const. Наблюдаемое ускоренное расширение пространства и крупномасштабные пекулярные движения («Тёмный поток», «Великий аттрактор») обосновываются приливной гравитационной динамикой открытой бесконечной Мультивселенной. Предложен физический механизм Большого взрыва (t=0) как результат дестабилизации и центробежного разрыва сверхмассивного ядра предельно вращающейся Мега-черной дыры при достижении кинематического предела Керра (a* -&gt; 1).</w:t>
      </w:r>
    </w:p>
    <w:p>
      <w:pPr>
        <w:pStyle w:val="Heading1"/>
        <w:spacing w:after="180" w:before="360"/>
      </w:pPr>
      <w:r>
        <w:rPr>
          <w:b/>
          <w:bCs/>
          <w:color w:val="1A365D"/>
          <w:sz w:val="30"/>
          <w:szCs w:val="30"/>
        </w:rPr>
        <w:t xml:space="preserve">Раздел 1. Введение: Методологический кризис современной космологии</w:t>
      </w:r>
    </w:p>
    <w:p>
      <w:r>
        <w:t xml:space="preserve">Современная стандартная космологическая модель (ΛCDM) опирается на предположение о существовании трех несвязанных компонентов энергетического бюджета Вселенной: барионной материи (~4.9%), холодной тёмной материи (~26.8%) и тёмной энергии (~68.3%).</w:t>
      </w:r>
    </w:p>
    <w:p>
      <w:r>
        <w:rPr>
          <w:b/>
          <w:bCs/>
        </w:rPr>
        <w:t xml:space="preserve">1. «Вакуумная катастрофа»:</w:t>
      </w:r>
      <w:r>
        <w:t xml:space="preserve"> Теоретический расчет плотности энергии квантовых нулевых колебаний вакуума в рамках квантовой теории поля (QFT) дает значение порядка 10^96 кг/м³, в то время как наблюдаемая критическая плотность Вселенной составляет ~9×10^-27 кг/м³. Расхождение между теорией и экспериментом составляет 120 порядков величины (10^120), что является крупнейшим кризисом теоретической физики.</w:t>
      </w:r>
    </w:p>
    <w:p>
      <w:r>
        <w:rPr>
          <w:b/>
          <w:bCs/>
        </w:rPr>
        <w:t xml:space="preserve">2. Безрезультатность поисков WIMP-частиц:</w:t>
      </w:r>
      <w:r>
        <w:t xml:space="preserve"> Более четырех десятилетий прямых поисков на Большом адронном коллайдере (CERN LHC) и в криогенных подземных детекторах (XENONnT, LUX-ZEPLIN, PandaX) не выявили никаких следов слабовзаимодействующих массивных частиц или суперсимметричных партнеров.</w:t>
      </w:r>
    </w:p>
    <w:p>
      <w:r>
        <w:rPr>
          <w:b/>
          <w:bCs/>
        </w:rPr>
        <w:t xml:space="preserve">3. Принцип Бритвы Оккама:</w:t>
      </w:r>
      <w:r>
        <w:t xml:space="preserve"> Модель SGDM объединяет темный сектор (~95% массы) в единый класс реальных релятивистских объектов — стабильных гравитирующих черных дыр, устраняя необходимость в постулировании новых скалярных полей и неизвестных квантовых частиц.</w:t>
      </w:r>
    </w:p>
    <w:p>
      <w:pPr>
        <w:pStyle w:val="Heading1"/>
        <w:spacing w:after="180" w:before="360"/>
      </w:pPr>
      <w:r>
        <w:rPr>
          <w:b/>
          <w:bCs/>
          <w:color w:val="1A365D"/>
          <w:sz w:val="30"/>
          <w:szCs w:val="30"/>
        </w:rPr>
        <w:t xml:space="preserve">Раздел 2. Анатомия темного сектора на примере Млечного Пути</w:t>
      </w:r>
    </w:p>
    <w:p>
      <w:r>
        <w:t xml:space="preserve">Для круговой орбиты звезды радиуса R круговая скорость определяется гравитационным потенциалом замкнутой массы: v(R) = √(G·M(R) / R). В Млечном Пути масса светящихся барионов (балдж, диск, газ) составляет M_бар ≈ 1.1×10^41 кг (~5.5×10^10 масс Солнца).</w:t>
      </w:r>
    </w:p>
    <w:p>
      <w:r>
        <w:t xml:space="preserve">На радиусе орбиты Солнца (R0 = 8.2 кпк) и на краю оптического диска (R = 20 кпк) наблюдаемая скорость звезд остается практически постоянной: v ≈ 220 км/с. Расчет динамической массы внутри оптического радиуса дает M(20 кпк) ≈ 4.47×10^41 кг (~2.25×10^11 масс Солнца), а с учетом протяженного сферического гало (R_гало ≈ 150–200 кпк) полная масса Галактики достигает M_полн ≈ 1.2×10^12 масс Солнца. Таким образом, барионная материя составляет лишь ~5% массы Галактики, а 95% приходится на темное гало.</w:t>
      </w:r>
    </w:p>
    <w:p>
      <w:r>
        <w:t xml:space="preserve">В модели SGDM эти 95% массы представлены стохастическим роем стабильных невращающихся черных дыр широкого спектра масс. Их пространственная плотность подчиняется изотермическому профилю ρ(r) = ρ0 / (1 + (r/r_c)²), что естественным образом обеспечивает линейный рост массы M(r) ∝ r и постоянную скорость вращения диска v(r) = const ≈ 220 км/с. Центральная сверхмассивная черная дыра Стрелец A* (4.3 млн масс Солнца) служит естественным барицентрическим гравитационным якорем всей структуры.</w:t>
      </w:r>
    </w:p>
    <w:p>
      <w:pPr>
        <w:pStyle w:val="Heading1"/>
        <w:spacing w:after="180" w:before="360"/>
      </w:pPr>
      <w:r>
        <w:rPr>
          <w:b/>
          <w:bCs/>
          <w:color w:val="1A365D"/>
          <w:sz w:val="30"/>
          <w:szCs w:val="30"/>
        </w:rPr>
        <w:t xml:space="preserve">Раздел 3. Физика Черной Дыры: Ядро конечной плотности ρ0</w:t>
      </w:r>
    </w:p>
    <w:p>
      <w:r>
        <w:t xml:space="preserve">Модель постулирует отказ от нефизической математической сингулярности бесконечной плотности в пользу физического сверхплотного ядра постоянной предельной плотности ρ0 = const (например, ядерной плотности ρ_nuc ≈ 3×10^17 кг/м³).</w:t>
      </w:r>
    </w:p>
    <w:p>
      <w:r>
        <w:rPr>
          <w:b/>
          <w:bCs/>
        </w:rPr>
        <w:t xml:space="preserve">Соотношение масштабов: </w:t>
      </w:r>
      <w:r>
        <w:t xml:space="preserve">Радиус ядра растет как R_ядра(M) = (3M / 4πρ0)^(1/3) ∝ M^(1/3), в то время как гравитационный радиус Шварцшильда растет линейно: Rs(M) = 2GM / c² ∝ M.</w:t>
      </w:r>
    </w:p>
    <w:p>
      <w:r>
        <w:rPr>
          <w:b/>
          <w:bCs/>
        </w:rPr>
        <w:t xml:space="preserve">Критическая масса формирования горизонта: </w:t>
      </w:r>
      <w:r>
        <w:t xml:space="preserve">Условие Rs ≥ R_ядра определяет критическую массу: M_крит = c³ · √(3 / (32π G³ ρ0)). При плотности несжимаемой ядерной материи ρ0 = 3×10^17 кг/м³ получаем M_крит ≈ 1.56×10^31 кг ≈ 7.8 масс Солнца. Компактные тела с массой ниже критической представляют собой безгоризонтные сверхплотные объекты, а тела с массой выше 7.8 M_солнца образуют черные дыры.</w:t>
      </w:r>
    </w:p>
    <w:p>
      <w:r>
        <w:rPr>
          <w:b/>
          <w:bCs/>
        </w:rPr>
        <w:t xml:space="preserve">Внутренняя геометрия Мега-черных дыр: </w:t>
      </w:r>
      <w:r>
        <w:t xml:space="preserve">Для Мега-черной дыры скопления галактик массой M = 10^20 M_солнца радиус горизонта событий составляет Rs ≈ 31 млн световых лет, тогда как радиус плотного ядра составляет всего R_ядра ≈ 5.4×10^10 м (0.36 а.е. — меньше расстояния от Солнца до Венеры). Более 99.99999999999999999% объема под горизонтом событий представляет собой чистый вакуум.</w:t>
      </w:r>
    </w:p>
    <w:p>
      <w:pPr>
        <w:pStyle w:val="Heading1"/>
        <w:spacing w:after="180" w:before="360"/>
      </w:pPr>
      <w:r>
        <w:rPr>
          <w:b/>
          <w:bCs/>
          <w:color w:val="1A365D"/>
          <w:sz w:val="30"/>
          <w:szCs w:val="30"/>
        </w:rPr>
        <w:t xml:space="preserve">Раздел 4. Эволюционный суперцикл: Механизм Большого взрыва</w:t>
      </w:r>
    </w:p>
    <w:p>
      <w:r>
        <w:t xml:space="preserve">Поскольку квантовое испарение (излучение Хокинга) отсутствует, черные дыры абсолютно стабильны. Эволюция локального домена Вселенной представляет собой периодический гравитационный суперцикл с характерным периодом ~10^15 – 10^18 лет:</w:t>
      </w:r>
    </w:p>
    <w:p>
      <w:r>
        <w:rPr>
          <w:b/>
          <w:bCs/>
        </w:rPr>
        <w:t xml:space="preserve">1. Фаза барионного цветения (0 – 10^11 лет): </w:t>
      </w:r>
      <w:r>
        <w:t xml:space="preserve">Текущий этап нашей Вселенной (t ≈ 13.8 млрд лет). Барионы (~5%) формируют светящиеся звезды и галактики, черные дыры (~95%) удерживают гравитационный каркас гало.</w:t>
      </w:r>
    </w:p>
    <w:p>
      <w:r>
        <w:rPr>
          <w:b/>
          <w:bCs/>
        </w:rPr>
        <w:t xml:space="preserve">2. Фаза коалесценции (10^12 – 10^15 лет): </w:t>
      </w:r>
      <w:r>
        <w:t xml:space="preserve">Термоядерное топливо звезд выгорает. Остывшие барионы и фоновый рой мелких черных дыр поглощаются крупными гравитационными центрами.</w:t>
      </w:r>
    </w:p>
    <w:p>
      <w:r>
        <w:rPr>
          <w:b/>
          <w:bCs/>
        </w:rPr>
        <w:t xml:space="preserve">3. Фаза консолидации в Мега-ЧД (10^16 – 10^18 лет): </w:t>
      </w:r>
      <w:r>
        <w:t xml:space="preserve">Вся масса домена стягивается в единую сверхмассивную черную дыру. При асимметричном поглощении вещества дыра аккумулирует колоссальный орбитальный угловой момент, приближаясь к безразмерному пределу Керра a* = J·c / (G·M²) -&gt; 1.</w:t>
      </w:r>
    </w:p>
    <w:p>
      <w:r>
        <w:rPr>
          <w:b/>
          <w:bCs/>
        </w:rPr>
        <w:t xml:space="preserve">4. Механизм Большого взрыва (t = 0): </w:t>
      </w:r>
      <w:r>
        <w:t xml:space="preserve">При a* -&gt; 1 линейная скорость экватора ядра стремится к скорости света, а центробежное ускорение a_центроб = v_экв² / R_ядра превышает гравитационное ускорение удержания g_грав = G·M / R_ядра². Поскольку плотность ядра фиксирована на ρ0, ядро не может сжиматься дальше. Наступает срыв стационарности: центробежные силы разрывают горизонт событий вдоль экватора, выбрасывая сверхплотную плазму и фрагменты микродыр наружу. Этот акт является физическим Большим взрывом (t = 0) новой расширяющейся дочерней вселенной.</w:t>
      </w:r>
    </w:p>
    <w:p>
      <w:pPr>
        <w:pStyle w:val="Heading1"/>
        <w:spacing w:after="180" w:before="360"/>
      </w:pPr>
      <w:r>
        <w:rPr>
          <w:b/>
          <w:bCs/>
          <w:color w:val="1A365D"/>
          <w:sz w:val="30"/>
          <w:szCs w:val="30"/>
        </w:rPr>
        <w:t xml:space="preserve">Раздел 5. Бесконечная Мультивселенная и природа космологического расширения</w:t>
      </w:r>
    </w:p>
    <w:p>
      <w:r>
        <w:t xml:space="preserve">Пространство Мультивселенной бесконечно и содержит бесконечное число открытых доменов, находящихся на разных стадиях своего возраста от локального Большого взрыва.</w:t>
      </w:r>
    </w:p>
    <w:p>
      <w:r>
        <w:rPr>
          <w:b/>
          <w:bCs/>
        </w:rPr>
        <w:t xml:space="preserve">Математическое разложение внешнего потенциала: </w:t>
      </w:r>
      <w:r>
        <w:t xml:space="preserve">Гравитационный потенциал от окружающих вселенных Φ_внеш(r) разлагается в окрестности нашего домена в ряд Тейлора: Φ_внеш(r) ≈ Φ0 + (∇Φ)0 · r + (1/2) r_i r_j (∂²Φ/∂x_i ∂x_j)0.</w:t>
      </w:r>
    </w:p>
    <w:p>
      <w:r>
        <w:rPr>
          <w:b/>
          <w:bCs/>
        </w:rPr>
        <w:t xml:space="preserve">• Дипольный градиент (∇Φ)0: </w:t>
      </w:r>
      <w:r>
        <w:t xml:space="preserve">Создает направленное ускорение всей нашей Вселенной как единого целого. Это строго объясняет феномен «Тёмного потока» (Dark Flow) — движение сотен скоплений галактик со скоростью ~800–1000 км/с в сторону созвездий Центавра и Парусов к более древним массивным внешним доменам.</w:t>
      </w:r>
    </w:p>
    <w:p>
      <w:r>
        <w:rPr>
          <w:b/>
          <w:bCs/>
        </w:rPr>
        <w:t xml:space="preserve">• Квадрупольный приливной тензор: </w:t>
      </w:r>
      <w:r>
        <w:t xml:space="preserve">Внешняя гравитация создает радиальное приливное ускорение a_прилив(r) = +(2 G M_внеш / R_внеш³) · r, направленное строго наружу. Линейная зависимость a ∝ r математически тождественна действию космологической постоянной a_Λ = (Λ c² / 3) · r. Это доказывает, что наблюдаемое ускоренное расширение пространства порождается приливной гравитацией окружающих вселенных, что полностью устраняет необходимость в концепции «тёмной энергии».</w:t>
      </w:r>
    </w:p>
    <w:p>
      <w:pPr>
        <w:pStyle w:val="Heading1"/>
        <w:spacing w:after="180" w:before="360"/>
      </w:pPr>
      <w:r>
        <w:rPr>
          <w:b/>
          <w:bCs/>
          <w:color w:val="1A365D"/>
          <w:sz w:val="30"/>
          <w:szCs w:val="30"/>
        </w:rPr>
        <w:t xml:space="preserve">Раздел 6. Сопоставление с наблюдательными данными и верификация</w:t>
      </w:r>
    </w:p>
    <w:p>
      <w:r>
        <w:t xml:space="preserve">Модель SGDM дает прямое объяснение наблюдательным фактам современной астрофизики, вызывающим кризис стандартной космологии:</w:t>
      </w:r>
    </w:p>
    <w:tbl>
      <w:tblPr>
        <w:tblW w:type="dxa" w:w="9360"/>
        <w:tblBorders>
          <w:top w:val="single" w:color="CCCCCC" w:sz="4"/>
          <w:left w:val="none" w:color="auto" w:sz="0"/>
          <w:bottom w:val="single" w:color="CCCCCC" w:sz="4"/>
          <w:right w:val="none" w:color="auto" w:sz="0"/>
          <w:insideH w:val="single" w:color="E5E5E5" w:sz="2"/>
          <w:insideV w:val="none" w:color="auto" w:sz="0"/>
        </w:tblBorders>
      </w:tblPr>
      <w:tblGrid>
        <w:gridCol w:w="2800"/>
        <w:gridCol w:w="3280"/>
        <w:gridCol w:w="3280"/>
      </w:tblGrid>
      <w:tr>
        <w:tc>
          <w:tcPr>
            <w:tcW w:type="dxa" w:w="2800"/>
            <w:shd w:fill="2B6CB0" w:val="clear"/>
          </w:tcPr>
          <w:p>
            <w:r>
              <w:rPr>
                <w:b/>
                <w:bCs/>
                <w:color w:val="FFFFFF"/>
              </w:rPr>
              <w:t xml:space="preserve">Наблюдение</w:t>
            </w:r>
          </w:p>
        </w:tc>
        <w:tc>
          <w:tcPr>
            <w:tcW w:type="dxa" w:w="3280"/>
            <w:shd w:fill="2B6CB0" w:val="clear"/>
          </w:tcPr>
          <w:p>
            <w:r>
              <w:rPr>
                <w:b/>
                <w:bCs/>
                <w:color w:val="FFFFFF"/>
              </w:rPr>
              <w:t xml:space="preserve">Стандартная модель ΛCDM</w:t>
            </w:r>
          </w:p>
        </w:tc>
        <w:tc>
          <w:tcPr>
            <w:tcW w:type="dxa" w:w="3280"/>
            <w:shd w:fill="2B6CB0" w:val="clear"/>
          </w:tcPr>
          <w:p>
            <w:r>
              <w:rPr>
                <w:b/>
                <w:bCs/>
                <w:color w:val="FFFFFF"/>
              </w:rPr>
              <w:t xml:space="preserve">Объяснение в модели SGDM</w:t>
            </w:r>
          </w:p>
        </w:tc>
      </w:tr>
      <w:tr>
        <w:tc>
          <w:tcPr>
            <w:tcW w:type="dxa" w:w="2800"/>
          </w:tcPr>
          <w:p>
            <w:r>
              <w:rPr>
                <w:b/>
                <w:bCs/>
              </w:rPr>
              <w:t xml:space="preserve">Ранние сверхмассивные ЧД (JWST, z &gt; 10)</w:t>
            </w:r>
          </w:p>
        </w:tc>
        <w:tc>
          <w:tcPr>
            <w:tcW w:type="dxa" w:w="3280"/>
          </w:tcPr>
          <w:p>
            <w:r>
              <w:t xml:space="preserve">Не хватает времени для роста (&lt;400 млн лет) по лимиту Эддингтона.</w:t>
            </w:r>
          </w:p>
        </w:tc>
        <w:tc>
          <w:tcPr>
            <w:tcW w:type="dxa" w:w="3280"/>
          </w:tcPr>
          <w:p>
            <w:r>
              <w:t xml:space="preserve">Захват реликтовых массивных ЧД из соседних более древних доменов.</w:t>
            </w:r>
          </w:p>
        </w:tc>
      </w:tr>
      <w:tr>
        <w:tc>
          <w:tcPr>
            <w:tcW w:type="dxa" w:w="2800"/>
          </w:tcPr>
          <w:p>
            <w:r>
              <w:rPr>
                <w:b/>
                <w:bCs/>
              </w:rPr>
              <w:t xml:space="preserve">Фон гравитационных волн (NANOGrav 2023)</w:t>
            </w:r>
          </w:p>
        </w:tc>
        <w:tc>
          <w:tcPr>
            <w:tcW w:type="dxa" w:w="3280"/>
          </w:tcPr>
          <w:p>
            <w:r>
              <w:t xml:space="preserve">Сверхплотные популяции двойных сверхмассивных ЧД ранней Вселенной.</w:t>
            </w:r>
          </w:p>
        </w:tc>
        <w:tc>
          <w:tcPr>
            <w:tcW w:type="dxa" w:w="3280"/>
          </w:tcPr>
          <w:p>
            <w:r>
              <w:t xml:space="preserve">Непрерывный интегральный стохастический гул слияний во всей Мультивселенной.</w:t>
            </w:r>
          </w:p>
        </w:tc>
      </w:tr>
      <w:tr>
        <w:tc>
          <w:tcPr>
            <w:tcW w:type="dxa" w:w="2800"/>
          </w:tcPr>
          <w:p>
            <w:r>
              <w:rPr>
                <w:b/>
                <w:bCs/>
              </w:rPr>
              <w:t xml:space="preserve">Кривые вращения галактик (Млечный Путь)</w:t>
            </w:r>
          </w:p>
        </w:tc>
        <w:tc>
          <w:tcPr>
            <w:tcW w:type="dxa" w:w="3280"/>
          </w:tcPr>
          <w:p>
            <w:r>
              <w:t xml:space="preserve">Требуются не открытые за 40 лет квантовые частицы (WIMP/аксионы).</w:t>
            </w:r>
          </w:p>
        </w:tc>
        <w:tc>
          <w:tcPr>
            <w:tcW w:type="dxa" w:w="3280"/>
          </w:tcPr>
          <w:p>
            <w:r>
              <w:t xml:space="preserve">Стохастическое гало стабильных черных дыр (~95% массы галактики).</w:t>
            </w:r>
          </w:p>
        </w:tc>
      </w:tr>
      <w:tr>
        <w:tc>
          <w:tcPr>
            <w:tcW w:type="dxa" w:w="2800"/>
          </w:tcPr>
          <w:p>
            <w:r>
              <w:rPr>
                <w:b/>
                <w:bCs/>
              </w:rPr>
              <w:t xml:space="preserve">Тёмный поток (~1000 км/с к созвездию Центавра)</w:t>
            </w:r>
          </w:p>
        </w:tc>
        <w:tc>
          <w:tcPr>
            <w:tcW w:type="dxa" w:w="3280"/>
          </w:tcPr>
          <w:p>
            <w:r>
              <w:t xml:space="preserve">Аномалия наблюдений или необъяснимая статистическая флуктуация.</w:t>
            </w:r>
          </w:p>
        </w:tc>
        <w:tc>
          <w:tcPr>
            <w:tcW w:type="dxa" w:w="3280"/>
          </w:tcPr>
          <w:p>
            <w:r>
              <w:t xml:space="preserve">Прямое действие дипольного градиента гравитации соседних вселенных.</w:t>
            </w:r>
          </w:p>
        </w:tc>
      </w:tr>
    </w:tbl>
    <w:p>
      <w:pPr>
        <w:pStyle w:val="Heading1"/>
        <w:spacing w:after="180" w:before="360"/>
      </w:pPr>
      <w:r>
        <w:rPr>
          <w:b/>
          <w:bCs/>
          <w:color w:val="1A365D"/>
          <w:sz w:val="30"/>
          <w:szCs w:val="30"/>
        </w:rPr>
        <w:t xml:space="preserve">Раздел 7. Заключение и фундаментальные выводы</w:t>
      </w:r>
    </w:p>
    <w:p>
      <w:r>
        <w:t xml:space="preserve">Стохастическая Гравитационно-Динамическая Модель Мультивселенной (SGDM) формирует строгую, логически замкнутую и физически непротиворечивую парадигму мироздания:</w:t>
      </w:r>
    </w:p>
    <w:p>
      <w:r>
        <w:rPr>
          <w:b/>
          <w:bCs/>
        </w:rPr>
        <w:t xml:space="preserve">1. Монополизм классической гравитации ОТО: </w:t>
      </w:r>
      <w:r>
        <w:t xml:space="preserve">Темный сектор полностью описан компактными объектами с реальными физическими параметрами без необходимости вводить неизвестные сущности и скалярные поля.</w:t>
      </w:r>
    </w:p>
    <w:p>
      <w:r>
        <w:rPr>
          <w:b/>
          <w:bCs/>
        </w:rPr>
        <w:t xml:space="preserve">2. Физическое устранение сингулярности: </w:t>
      </w:r>
      <w:r>
        <w:t xml:space="preserve">Введение предела плотности ядра ρ0 устраняет деление на ноль в центре черных дыр и дает строгое объяснение неизбежности Большого взрыва при накоплении критического углового момента Керра.</w:t>
      </w:r>
    </w:p>
    <w:p>
      <w:r>
        <w:rPr>
          <w:b/>
          <w:bCs/>
        </w:rPr>
        <w:t xml:space="preserve">3. Отмена «Тепловой смерти» космоса: </w:t>
      </w:r>
      <w:r>
        <w:t xml:space="preserve">Вселенная открыта и включена в вечный ансамбль сопредельных миров. Непрерывный фазовый градиент возрастов между вселенными обеспечивает вечный круговорот материи: Взрыв (t=0) -&gt; Разлет и цветение звезд -&gt; Коагуляция черных дыр -&gt; Мега-ЧД предельного вращения -&gt; Новый Большой взрыв.</w:t>
      </w:r>
    </w:p>
    <w:p>
      <w:pPr>
        <w:spacing w:after="60" w:before="240"/>
      </w:pPr>
      <w:r>
        <w:rPr>
          <w:i/>
          <w:iCs/>
          <w:color w:val="718096"/>
          <w:sz w:val="18"/>
          <w:szCs w:val="18"/>
        </w:rPr>
        <w:t xml:space="preserve">Документ сгенерирован автоматически в рамках исследовательской программы моделирования космологических циклов SGDM.</w:t>
      </w:r>
    </w:p>
    <w:p>
      <w:pPr>
        <w:spacing w:after="120" w:before="0"/>
      </w:pPr>
      <w:r>
        <w:rPr>
          <w:rFonts w:ascii="Consolas" w:cs="Consolas" w:eastAsia="Consolas" w:hAnsi="Consolas"/>
          <w:color w:val="2B6CB0"/>
          <w:sz w:val="18"/>
          <w:szCs w:val="18"/>
        </w:rPr>
        <w:t xml:space="preserve">Автор: Чесноков Ю. А. (ФТФ ДГУ, 1984 г.) | E-mail: europo1@yandex.ru | Тел.: +7 (903) 652-90-14 | Сайт: https://multiverse.asistent-aiart.ru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Стр.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</w:rPr>
      <w:t xml:space="preserve"> из </w:t>
    </w:r>
    <w:r>
      <w:rPr>
        <w:color w:val="88888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888888"/>
        <w:sz w:val="18"/>
        <w:szCs w:val="18"/>
      </w:rPr>
      <w:t xml:space="preserve">Модель Стохастической Мультивселенной (SGDM)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4"/>
        <w:szCs w:val="24"/>
      </w:rPr>
    </w:rPrDefault>
    <w:pPrDefault>
      <w:pPr>
        <w:spacing w:after="120" w:before="120"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2026-09-01T07:59:54.172Z</dcterms:created>
  <dcterms:modified xsi:type="dcterms:W3CDTF">2026-09-01T07:59:54.175Z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